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4688">
      <w:pPr>
        <w:pStyle w:val="7"/>
        <w:ind w:firstLine="480"/>
        <w:jc w:val="center"/>
        <w:rPr>
          <w:rStyle w:val="9"/>
          <w:rFonts w:hint="eastAsia" w:ascii="Times New Roman" w:hAnsi="Times New Roman" w:eastAsia="宋体" w:cs="Times New Roman"/>
          <w:b/>
          <w:bCs/>
          <w:kern w:val="0"/>
          <w:sz w:val="32"/>
          <w:szCs w:val="32"/>
          <w:lang w:val="en-US" w:eastAsia="zh-CN" w:bidi="ar-SA"/>
        </w:rPr>
      </w:pPr>
      <w:bookmarkStart w:id="0" w:name="_GoBack"/>
      <w:bookmarkEnd w:id="0"/>
      <w:r>
        <w:rPr>
          <w:rStyle w:val="9"/>
          <w:rFonts w:hint="eastAsia" w:ascii="Times New Roman" w:hAnsi="Times New Roman" w:eastAsia="宋体" w:cs="Times New Roman"/>
          <w:b/>
          <w:bCs/>
          <w:kern w:val="0"/>
          <w:sz w:val="32"/>
          <w:szCs w:val="32"/>
          <w:lang w:val="en-US" w:eastAsia="zh-CN" w:bidi="ar-SA"/>
        </w:rPr>
        <w:t>评分内容及标准表</w:t>
      </w:r>
    </w:p>
    <w:p w14:paraId="2C2EC3CB">
      <w:pPr>
        <w:pStyle w:val="4"/>
        <w:widowControl w:val="0"/>
        <w:adjustRightInd w:val="0"/>
        <w:snapToGrid w:val="0"/>
        <w:spacing w:before="0" w:beforeAutospacing="0" w:after="0" w:afterAutospacing="0" w:line="240" w:lineRule="atLeast"/>
        <w:rPr>
          <w:rFonts w:hint="eastAsia"/>
          <w:b/>
          <w:bCs/>
          <w:kern w:val="2"/>
          <w:sz w:val="21"/>
          <w:szCs w:val="21"/>
          <w:highlight w:val="none"/>
        </w:rPr>
      </w:pPr>
    </w:p>
    <w:tbl>
      <w:tblPr>
        <w:tblStyle w:val="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1172"/>
        <w:gridCol w:w="1964"/>
        <w:gridCol w:w="6957"/>
      </w:tblGrid>
      <w:tr w14:paraId="4ED7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617" w:hRule="atLeast"/>
          <w:jc w:val="center"/>
        </w:trPr>
        <w:tc>
          <w:tcPr>
            <w:tcW w:w="1172" w:type="dxa"/>
            <w:shd w:val="clear" w:color="auto" w:fill="auto"/>
            <w:noWrap w:val="0"/>
            <w:tcMar>
              <w:top w:w="80" w:type="dxa"/>
              <w:left w:w="80" w:type="dxa"/>
              <w:bottom w:w="80" w:type="dxa"/>
              <w:right w:w="80" w:type="dxa"/>
            </w:tcMar>
            <w:vAlign w:val="center"/>
          </w:tcPr>
          <w:p w14:paraId="2DD5AC25">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zh-TW" w:eastAsia="zh-TW" w:bidi="ar-SA"/>
              </w:rPr>
              <w:t>项目</w:t>
            </w:r>
          </w:p>
        </w:tc>
        <w:tc>
          <w:tcPr>
            <w:tcW w:w="1964" w:type="dxa"/>
            <w:shd w:val="clear" w:color="auto" w:fill="auto"/>
            <w:noWrap w:val="0"/>
            <w:vAlign w:val="center"/>
          </w:tcPr>
          <w:p w14:paraId="156193AC">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zh-TW" w:eastAsia="zh-TW" w:bidi="ar-SA"/>
              </w:rPr>
              <w:t>评分内容</w:t>
            </w:r>
          </w:p>
        </w:tc>
        <w:tc>
          <w:tcPr>
            <w:tcW w:w="6957" w:type="dxa"/>
            <w:shd w:val="clear" w:color="auto" w:fill="auto"/>
            <w:noWrap w:val="0"/>
            <w:vAlign w:val="center"/>
          </w:tcPr>
          <w:p w14:paraId="597AB999">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zh-TW" w:eastAsia="zh-TW" w:bidi="ar-SA"/>
              </w:rPr>
              <w:t>评分标准</w:t>
            </w:r>
          </w:p>
        </w:tc>
      </w:tr>
      <w:tr w14:paraId="61C8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461" w:hRule="atLeast"/>
          <w:jc w:val="center"/>
        </w:trPr>
        <w:tc>
          <w:tcPr>
            <w:tcW w:w="1172" w:type="dxa"/>
            <w:shd w:val="clear" w:color="auto" w:fill="auto"/>
            <w:noWrap w:val="0"/>
            <w:tcMar>
              <w:top w:w="80" w:type="dxa"/>
              <w:left w:w="80" w:type="dxa"/>
              <w:bottom w:w="80" w:type="dxa"/>
              <w:right w:w="80" w:type="dxa"/>
            </w:tcMar>
            <w:vAlign w:val="center"/>
          </w:tcPr>
          <w:p w14:paraId="2FB73E39">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商务</w:t>
            </w:r>
            <w:r>
              <w:rPr>
                <w:rStyle w:val="9"/>
                <w:rFonts w:hint="eastAsia" w:ascii="Times New Roman" w:hAnsi="Times New Roman" w:eastAsia="宋体" w:cs="Times New Roman"/>
                <w:kern w:val="0"/>
                <w:sz w:val="24"/>
                <w:szCs w:val="24"/>
                <w:lang w:val="zh-TW" w:eastAsia="zh-TW" w:bidi="ar-SA"/>
              </w:rPr>
              <w:t>部分</w:t>
            </w:r>
          </w:p>
          <w:p w14:paraId="6E0FA324">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zh-TW" w:eastAsia="zh-TW" w:bidi="ar-SA"/>
              </w:rPr>
              <w:t>（</w:t>
            </w:r>
            <w:r>
              <w:rPr>
                <w:rStyle w:val="9"/>
                <w:rFonts w:hint="eastAsia" w:ascii="Times New Roman" w:hAnsi="Times New Roman" w:eastAsia="宋体" w:cs="Times New Roman"/>
                <w:kern w:val="0"/>
                <w:sz w:val="24"/>
                <w:szCs w:val="24"/>
                <w:lang w:val="en-US" w:eastAsia="zh-CN" w:bidi="ar-SA"/>
              </w:rPr>
              <w:t>25</w:t>
            </w:r>
            <w:r>
              <w:rPr>
                <w:rStyle w:val="9"/>
                <w:rFonts w:hint="eastAsia" w:ascii="Times New Roman" w:hAnsi="Times New Roman" w:eastAsia="宋体" w:cs="Times New Roman"/>
                <w:kern w:val="0"/>
                <w:sz w:val="24"/>
                <w:szCs w:val="24"/>
                <w:lang w:val="zh-TW" w:eastAsia="zh-TW" w:bidi="ar-SA"/>
              </w:rPr>
              <w:t>分）</w:t>
            </w:r>
          </w:p>
        </w:tc>
        <w:tc>
          <w:tcPr>
            <w:tcW w:w="1964" w:type="dxa"/>
            <w:shd w:val="clear" w:color="auto" w:fill="auto"/>
            <w:noWrap w:val="0"/>
            <w:vAlign w:val="center"/>
          </w:tcPr>
          <w:p w14:paraId="3B35FC86">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zh-TW" w:eastAsia="zh-TW" w:bidi="ar-SA"/>
              </w:rPr>
              <w:t>价格</w:t>
            </w:r>
          </w:p>
          <w:p w14:paraId="6BB47ECC">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zh-TW" w:eastAsia="zh-CN" w:bidi="ar-SA"/>
              </w:rPr>
              <w:t>（</w:t>
            </w:r>
            <w:r>
              <w:rPr>
                <w:rStyle w:val="9"/>
                <w:rFonts w:hint="eastAsia" w:ascii="Times New Roman" w:hAnsi="Times New Roman" w:eastAsia="宋体" w:cs="Times New Roman"/>
                <w:kern w:val="0"/>
                <w:sz w:val="24"/>
                <w:szCs w:val="24"/>
                <w:lang w:val="en-US" w:eastAsia="zh-CN" w:bidi="ar-SA"/>
              </w:rPr>
              <w:t>25</w:t>
            </w:r>
            <w:r>
              <w:rPr>
                <w:rStyle w:val="9"/>
                <w:rFonts w:hint="eastAsia" w:ascii="Times New Roman" w:hAnsi="Times New Roman" w:eastAsia="宋体" w:cs="Times New Roman"/>
                <w:kern w:val="0"/>
                <w:sz w:val="24"/>
                <w:szCs w:val="24"/>
                <w:lang w:val="zh-TW" w:eastAsia="zh-TW" w:bidi="ar-SA"/>
              </w:rPr>
              <w:t>分</w:t>
            </w:r>
            <w:r>
              <w:rPr>
                <w:rStyle w:val="9"/>
                <w:rFonts w:hint="eastAsia" w:ascii="Times New Roman" w:hAnsi="Times New Roman" w:eastAsia="宋体" w:cs="Times New Roman"/>
                <w:kern w:val="0"/>
                <w:sz w:val="24"/>
                <w:szCs w:val="24"/>
                <w:lang w:val="zh-TW" w:eastAsia="zh-CN" w:bidi="ar-SA"/>
              </w:rPr>
              <w:t>）</w:t>
            </w:r>
          </w:p>
        </w:tc>
        <w:tc>
          <w:tcPr>
            <w:tcW w:w="6957" w:type="dxa"/>
            <w:shd w:val="clear" w:color="auto" w:fill="auto"/>
            <w:noWrap w:val="0"/>
            <w:vAlign w:val="center"/>
          </w:tcPr>
          <w:p w14:paraId="4C59612E">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经评审委员会评审确认，满足比选文件要求且报价最低的响应人的价格为评标基准价；</w:t>
            </w:r>
          </w:p>
          <w:p w14:paraId="6CDD01CD">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报价得分按以下公式计算：评标基准价/报价×25，</w:t>
            </w:r>
          </w:p>
          <w:p w14:paraId="60B54B6C">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zh-TW" w:eastAsia="zh-TW" w:bidi="ar-SA"/>
              </w:rPr>
              <w:t>以上公式得分计算结果保留二位小数，第三位四舍五入。</w:t>
            </w:r>
          </w:p>
          <w:p w14:paraId="13662A6E">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注：响应人的报价超过最高限价（不含最高限价）的作为无效报价。</w:t>
            </w:r>
          </w:p>
        </w:tc>
      </w:tr>
      <w:tr w14:paraId="1757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805" w:hRule="atLeast"/>
          <w:jc w:val="center"/>
        </w:trPr>
        <w:tc>
          <w:tcPr>
            <w:tcW w:w="1172" w:type="dxa"/>
            <w:vMerge w:val="restart"/>
            <w:shd w:val="clear" w:color="auto" w:fill="auto"/>
            <w:noWrap w:val="0"/>
            <w:tcMar>
              <w:top w:w="80" w:type="dxa"/>
              <w:left w:w="80" w:type="dxa"/>
              <w:bottom w:w="80" w:type="dxa"/>
              <w:right w:w="80" w:type="dxa"/>
            </w:tcMar>
            <w:vAlign w:val="center"/>
          </w:tcPr>
          <w:p w14:paraId="75AB845C">
            <w:pPr>
              <w:spacing w:line="360" w:lineRule="exact"/>
              <w:jc w:val="center"/>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技术部分（60分）</w:t>
            </w:r>
          </w:p>
        </w:tc>
        <w:tc>
          <w:tcPr>
            <w:tcW w:w="1964" w:type="dxa"/>
            <w:shd w:val="clear" w:color="auto" w:fill="auto"/>
            <w:noWrap w:val="0"/>
            <w:vAlign w:val="center"/>
          </w:tcPr>
          <w:p w14:paraId="44EEB384">
            <w:pPr>
              <w:spacing w:line="360" w:lineRule="exact"/>
              <w:jc w:val="center"/>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勘察实施方案</w:t>
            </w:r>
          </w:p>
          <w:p w14:paraId="6C404227">
            <w:pPr>
              <w:spacing w:line="360" w:lineRule="exact"/>
              <w:jc w:val="center"/>
              <w:rPr>
                <w:rStyle w:val="9"/>
                <w:rFonts w:hint="eastAsia" w:ascii="Times New Roman" w:hAnsi="Times New Roman" w:eastAsia="宋体" w:cs="Times New Roman"/>
                <w:kern w:val="0"/>
                <w:sz w:val="24"/>
                <w:szCs w:val="24"/>
                <w:lang w:val="zh-TW" w:eastAsia="zh-CN" w:bidi="ar-SA"/>
              </w:rPr>
            </w:pPr>
            <w:r>
              <w:rPr>
                <w:rStyle w:val="9"/>
                <w:rFonts w:hint="eastAsia" w:ascii="Times New Roman" w:hAnsi="Times New Roman" w:eastAsia="宋体" w:cs="Times New Roman"/>
                <w:kern w:val="0"/>
                <w:sz w:val="24"/>
                <w:szCs w:val="24"/>
                <w:lang w:val="en-US" w:eastAsia="zh-CN" w:bidi="ar-SA"/>
              </w:rPr>
              <w:t>（10分）</w:t>
            </w:r>
          </w:p>
        </w:tc>
        <w:tc>
          <w:tcPr>
            <w:tcW w:w="6957" w:type="dxa"/>
            <w:shd w:val="clear" w:color="auto" w:fill="auto"/>
            <w:noWrap w:val="0"/>
            <w:vAlign w:val="center"/>
          </w:tcPr>
          <w:p w14:paraId="1730C7C7">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根据响应人提供勘察测量评估实施方案的合理性、先进性、安全性进行评价，由评委横向对比后进行打分。好的得[10-6）分，较好的得[6-3）分，一般的得[3-0]分。</w:t>
            </w:r>
          </w:p>
        </w:tc>
      </w:tr>
      <w:tr w14:paraId="5E7D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414" w:hRule="atLeast"/>
          <w:jc w:val="center"/>
        </w:trPr>
        <w:tc>
          <w:tcPr>
            <w:tcW w:w="1172" w:type="dxa"/>
            <w:vMerge w:val="continue"/>
            <w:shd w:val="clear" w:color="auto" w:fill="auto"/>
            <w:noWrap w:val="0"/>
            <w:tcMar>
              <w:top w:w="80" w:type="dxa"/>
              <w:left w:w="80" w:type="dxa"/>
              <w:bottom w:w="80" w:type="dxa"/>
              <w:right w:w="80" w:type="dxa"/>
            </w:tcMar>
            <w:vAlign w:val="center"/>
          </w:tcPr>
          <w:p w14:paraId="11A13607">
            <w:pPr>
              <w:spacing w:line="360" w:lineRule="exact"/>
              <w:jc w:val="center"/>
              <w:rPr>
                <w:rStyle w:val="9"/>
                <w:rFonts w:hint="eastAsia" w:ascii="Times New Roman" w:hAnsi="Times New Roman" w:eastAsia="宋体" w:cs="Times New Roman"/>
                <w:kern w:val="0"/>
                <w:sz w:val="24"/>
                <w:szCs w:val="24"/>
                <w:lang w:val="zh-TW" w:eastAsia="zh-TW" w:bidi="ar-SA"/>
              </w:rPr>
            </w:pPr>
          </w:p>
        </w:tc>
        <w:tc>
          <w:tcPr>
            <w:tcW w:w="1964" w:type="dxa"/>
            <w:shd w:val="clear" w:color="auto" w:fill="auto"/>
            <w:noWrap w:val="0"/>
            <w:vAlign w:val="center"/>
          </w:tcPr>
          <w:p w14:paraId="1C18A3D7">
            <w:pPr>
              <w:spacing w:line="360" w:lineRule="exact"/>
              <w:rPr>
                <w:rStyle w:val="9"/>
                <w:rFonts w:hint="eastAsia" w:ascii="Times New Roman" w:hAnsi="Times New Roman" w:eastAsia="宋体" w:cs="Times New Roman"/>
                <w:kern w:val="0"/>
                <w:sz w:val="24"/>
                <w:szCs w:val="24"/>
                <w:lang w:val="zh-TW" w:eastAsia="zh-CN" w:bidi="ar-SA"/>
              </w:rPr>
            </w:pPr>
            <w:r>
              <w:rPr>
                <w:rStyle w:val="9"/>
                <w:rFonts w:hint="eastAsia" w:ascii="Times New Roman" w:hAnsi="Times New Roman" w:eastAsia="宋体" w:cs="Times New Roman"/>
                <w:kern w:val="0"/>
                <w:sz w:val="24"/>
                <w:szCs w:val="24"/>
                <w:lang w:val="en-US" w:eastAsia="zh-CN" w:bidi="ar-SA"/>
              </w:rPr>
              <w:t>软土地基勘察要点（10分）</w:t>
            </w:r>
          </w:p>
        </w:tc>
        <w:tc>
          <w:tcPr>
            <w:tcW w:w="6957" w:type="dxa"/>
            <w:shd w:val="clear" w:color="auto" w:fill="auto"/>
            <w:noWrap w:val="0"/>
            <w:vAlign w:val="center"/>
          </w:tcPr>
          <w:p w14:paraId="24C040E6">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根据响应人对本项目编制的软土地基实施方案。</w:t>
            </w:r>
          </w:p>
          <w:p w14:paraId="0F46B560">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由评委横向对比后进行打分，好的得[10-6）分，较好的得[6-3）分，一般的得[3-0]分。</w:t>
            </w:r>
          </w:p>
        </w:tc>
      </w:tr>
      <w:tr w14:paraId="1AD7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362" w:hRule="atLeast"/>
          <w:jc w:val="center"/>
        </w:trPr>
        <w:tc>
          <w:tcPr>
            <w:tcW w:w="1172" w:type="dxa"/>
            <w:vMerge w:val="continue"/>
            <w:shd w:val="clear" w:color="auto" w:fill="auto"/>
            <w:noWrap w:val="0"/>
            <w:tcMar>
              <w:top w:w="80" w:type="dxa"/>
              <w:left w:w="80" w:type="dxa"/>
              <w:bottom w:w="80" w:type="dxa"/>
              <w:right w:w="80" w:type="dxa"/>
            </w:tcMar>
            <w:vAlign w:val="center"/>
          </w:tcPr>
          <w:p w14:paraId="7A2784AF">
            <w:pPr>
              <w:spacing w:line="360" w:lineRule="exact"/>
              <w:jc w:val="center"/>
              <w:rPr>
                <w:rStyle w:val="9"/>
                <w:rFonts w:hint="eastAsia" w:ascii="Times New Roman" w:hAnsi="Times New Roman" w:eastAsia="宋体" w:cs="Times New Roman"/>
                <w:kern w:val="0"/>
                <w:sz w:val="24"/>
                <w:szCs w:val="24"/>
                <w:lang w:val="zh-TW" w:eastAsia="zh-TW" w:bidi="ar-SA"/>
              </w:rPr>
            </w:pPr>
          </w:p>
        </w:tc>
        <w:tc>
          <w:tcPr>
            <w:tcW w:w="1964" w:type="dxa"/>
            <w:shd w:val="clear" w:color="auto" w:fill="auto"/>
            <w:noWrap w:val="0"/>
            <w:vAlign w:val="center"/>
          </w:tcPr>
          <w:p w14:paraId="2BE0B808">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勘察工作量的布置和采用的勘察方法规范要求和地方特点符合性（10分）</w:t>
            </w:r>
          </w:p>
        </w:tc>
        <w:tc>
          <w:tcPr>
            <w:tcW w:w="6957" w:type="dxa"/>
            <w:shd w:val="clear" w:color="auto" w:fill="auto"/>
            <w:noWrap w:val="0"/>
            <w:vAlign w:val="center"/>
          </w:tcPr>
          <w:p w14:paraId="6275C5C0">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根据响应人对本项目实施方案。</w:t>
            </w:r>
          </w:p>
          <w:p w14:paraId="7394E2D6">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由评委横向对比后进行打分，好的得[10-6）分，较好的得[6-3）分，一般的得[3-1]分。</w:t>
            </w:r>
          </w:p>
        </w:tc>
      </w:tr>
      <w:tr w14:paraId="75B1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199" w:hRule="atLeast"/>
          <w:jc w:val="center"/>
        </w:trPr>
        <w:tc>
          <w:tcPr>
            <w:tcW w:w="1172" w:type="dxa"/>
            <w:vMerge w:val="continue"/>
            <w:shd w:val="clear" w:color="auto" w:fill="auto"/>
            <w:noWrap w:val="0"/>
            <w:tcMar>
              <w:top w:w="80" w:type="dxa"/>
              <w:left w:w="80" w:type="dxa"/>
              <w:bottom w:w="80" w:type="dxa"/>
              <w:right w:w="80" w:type="dxa"/>
            </w:tcMar>
            <w:vAlign w:val="center"/>
          </w:tcPr>
          <w:p w14:paraId="38104BA3">
            <w:pPr>
              <w:spacing w:line="360" w:lineRule="exact"/>
              <w:jc w:val="center"/>
              <w:rPr>
                <w:rStyle w:val="9"/>
                <w:rFonts w:hint="eastAsia" w:ascii="Times New Roman" w:hAnsi="Times New Roman" w:eastAsia="宋体" w:cs="Times New Roman"/>
                <w:kern w:val="0"/>
                <w:sz w:val="24"/>
                <w:szCs w:val="24"/>
                <w:lang w:val="zh-TW" w:eastAsia="zh-TW" w:bidi="ar-SA"/>
              </w:rPr>
            </w:pPr>
          </w:p>
        </w:tc>
        <w:tc>
          <w:tcPr>
            <w:tcW w:w="1964" w:type="dxa"/>
            <w:shd w:val="clear" w:color="auto" w:fill="auto"/>
            <w:noWrap w:val="0"/>
            <w:vAlign w:val="center"/>
          </w:tcPr>
          <w:p w14:paraId="726480D1">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预期的勘察成果满足规范和设计施工要求程度</w:t>
            </w:r>
            <w:r>
              <w:rPr>
                <w:rStyle w:val="9"/>
                <w:rFonts w:hint="eastAsia" w:ascii="Times New Roman" w:hAnsi="Times New Roman" w:eastAsia="宋体" w:cs="Times New Roman"/>
                <w:kern w:val="0"/>
                <w:sz w:val="24"/>
                <w:szCs w:val="24"/>
                <w:lang w:val="en-US" w:eastAsia="zh-TW" w:bidi="ar-SA"/>
              </w:rPr>
              <w:t>（</w:t>
            </w:r>
            <w:r>
              <w:rPr>
                <w:rStyle w:val="9"/>
                <w:rFonts w:hint="eastAsia" w:ascii="Times New Roman" w:hAnsi="Times New Roman" w:eastAsia="宋体" w:cs="Times New Roman"/>
                <w:kern w:val="0"/>
                <w:sz w:val="24"/>
                <w:szCs w:val="24"/>
                <w:lang w:val="en-US" w:eastAsia="zh-CN" w:bidi="ar-SA"/>
              </w:rPr>
              <w:t>10</w:t>
            </w:r>
            <w:r>
              <w:rPr>
                <w:rStyle w:val="9"/>
                <w:rFonts w:hint="eastAsia" w:ascii="Times New Roman" w:hAnsi="Times New Roman" w:eastAsia="宋体" w:cs="Times New Roman"/>
                <w:kern w:val="0"/>
                <w:sz w:val="24"/>
                <w:szCs w:val="24"/>
                <w:lang w:val="en-US" w:eastAsia="zh-TW" w:bidi="ar-SA"/>
              </w:rPr>
              <w:t>分）</w:t>
            </w:r>
          </w:p>
        </w:tc>
        <w:tc>
          <w:tcPr>
            <w:tcW w:w="6957" w:type="dxa"/>
            <w:shd w:val="clear" w:color="auto" w:fill="auto"/>
            <w:noWrap w:val="0"/>
            <w:vAlign w:val="center"/>
          </w:tcPr>
          <w:p w14:paraId="3F0D4111">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根据响应人对本项目编制的质量等保障方案。</w:t>
            </w:r>
          </w:p>
          <w:p w14:paraId="465D4B62">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由评委横向对比后进行打分，好的得[10-6）分，较好的得[6-3）分，一般的得[3-1]分。</w:t>
            </w:r>
          </w:p>
        </w:tc>
      </w:tr>
      <w:tr w14:paraId="3624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794" w:hRule="atLeast"/>
          <w:jc w:val="center"/>
        </w:trPr>
        <w:tc>
          <w:tcPr>
            <w:tcW w:w="1172" w:type="dxa"/>
            <w:vMerge w:val="continue"/>
            <w:shd w:val="clear" w:color="auto" w:fill="auto"/>
            <w:noWrap w:val="0"/>
            <w:vAlign w:val="top"/>
          </w:tcPr>
          <w:p w14:paraId="0D4F6E4A">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p>
        </w:tc>
        <w:tc>
          <w:tcPr>
            <w:tcW w:w="1964" w:type="dxa"/>
            <w:shd w:val="clear" w:color="auto" w:fill="auto"/>
            <w:noWrap w:val="0"/>
            <w:tcMar>
              <w:top w:w="80" w:type="dxa"/>
              <w:left w:w="80" w:type="dxa"/>
              <w:bottom w:w="80" w:type="dxa"/>
              <w:right w:w="80" w:type="dxa"/>
            </w:tcMar>
            <w:vAlign w:val="center"/>
          </w:tcPr>
          <w:p w14:paraId="3D0E38F1">
            <w:pPr>
              <w:spacing w:line="360" w:lineRule="exact"/>
              <w:rPr>
                <w:rStyle w:val="9"/>
                <w:rFonts w:hint="eastAsia" w:ascii="Times New Roman" w:hAnsi="Times New Roman" w:eastAsia="宋体" w:cs="Times New Roman"/>
                <w:kern w:val="0"/>
                <w:sz w:val="24"/>
                <w:szCs w:val="24"/>
                <w:lang w:val="zh-TW" w:eastAsia="zh-CN" w:bidi="ar-SA"/>
              </w:rPr>
            </w:pPr>
            <w:r>
              <w:rPr>
                <w:rStyle w:val="9"/>
                <w:rFonts w:hint="eastAsia" w:ascii="Times New Roman" w:hAnsi="Times New Roman" w:eastAsia="宋体" w:cs="Times New Roman"/>
                <w:kern w:val="0"/>
                <w:sz w:val="24"/>
                <w:szCs w:val="24"/>
                <w:lang w:val="en-US" w:eastAsia="zh-CN" w:bidi="ar-SA"/>
              </w:rPr>
              <w:t>勘察精细化施工和管理（10分）</w:t>
            </w:r>
          </w:p>
        </w:tc>
        <w:tc>
          <w:tcPr>
            <w:tcW w:w="6957" w:type="dxa"/>
            <w:shd w:val="clear" w:color="auto" w:fill="auto"/>
            <w:noWrap w:val="0"/>
            <w:vAlign w:val="center"/>
          </w:tcPr>
          <w:p w14:paraId="3B5576D8">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根据响应人提供管理方案，由评委横向比较后进行打分，好的得[10-6）分，较好的得[6-3）分，一般的得[3-1]分。</w:t>
            </w:r>
          </w:p>
        </w:tc>
      </w:tr>
      <w:tr w14:paraId="6BE9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90" w:hRule="atLeast"/>
          <w:jc w:val="center"/>
        </w:trPr>
        <w:tc>
          <w:tcPr>
            <w:tcW w:w="1172" w:type="dxa"/>
            <w:vMerge w:val="continue"/>
            <w:shd w:val="clear" w:color="auto" w:fill="auto"/>
            <w:noWrap w:val="0"/>
            <w:vAlign w:val="top"/>
          </w:tcPr>
          <w:p w14:paraId="228B68B2">
            <w:pPr>
              <w:pStyle w:val="4"/>
              <w:widowControl w:val="0"/>
              <w:adjustRightInd w:val="0"/>
              <w:spacing w:before="0" w:beforeAutospacing="0" w:after="0" w:afterAutospacing="0" w:line="360" w:lineRule="exact"/>
              <w:jc w:val="center"/>
              <w:rPr>
                <w:rStyle w:val="9"/>
                <w:rFonts w:hint="eastAsia" w:ascii="Times New Roman" w:hAnsi="Times New Roman" w:eastAsia="宋体" w:cs="Times New Roman"/>
                <w:kern w:val="0"/>
                <w:sz w:val="24"/>
                <w:szCs w:val="24"/>
                <w:lang w:val="zh-TW" w:eastAsia="zh-TW" w:bidi="ar-SA"/>
              </w:rPr>
            </w:pPr>
          </w:p>
        </w:tc>
        <w:tc>
          <w:tcPr>
            <w:tcW w:w="1964" w:type="dxa"/>
            <w:shd w:val="clear" w:color="auto" w:fill="auto"/>
            <w:noWrap w:val="0"/>
            <w:tcMar>
              <w:top w:w="80" w:type="dxa"/>
              <w:left w:w="80" w:type="dxa"/>
              <w:bottom w:w="80" w:type="dxa"/>
              <w:right w:w="80" w:type="dxa"/>
            </w:tcMar>
            <w:vAlign w:val="center"/>
          </w:tcPr>
          <w:p w14:paraId="2EAB98A1">
            <w:pPr>
              <w:spacing w:line="360" w:lineRule="exact"/>
              <w:ind w:hanging="3"/>
              <w:jc w:val="center"/>
              <w:rPr>
                <w:rStyle w:val="9"/>
                <w:rFonts w:hint="eastAsia" w:ascii="Times New Roman" w:hAnsi="Times New Roman" w:eastAsia="宋体" w:cs="Times New Roman"/>
                <w:kern w:val="0"/>
                <w:sz w:val="24"/>
                <w:szCs w:val="24"/>
                <w:lang w:val="zh-TW" w:eastAsia="zh-CN" w:bidi="ar-SA"/>
              </w:rPr>
            </w:pPr>
            <w:r>
              <w:rPr>
                <w:rStyle w:val="9"/>
                <w:rFonts w:hint="eastAsia" w:ascii="Times New Roman" w:hAnsi="Times New Roman" w:eastAsia="宋体" w:cs="Times New Roman"/>
                <w:kern w:val="0"/>
                <w:sz w:val="24"/>
                <w:szCs w:val="24"/>
                <w:lang w:val="en-US" w:eastAsia="zh-CN" w:bidi="ar-SA"/>
              </w:rPr>
              <w:t>人员配备、机械设备配备、相关服务措施、合理化建议（10分）</w:t>
            </w:r>
          </w:p>
        </w:tc>
        <w:tc>
          <w:tcPr>
            <w:tcW w:w="6957" w:type="dxa"/>
            <w:shd w:val="clear" w:color="auto" w:fill="auto"/>
            <w:noWrap w:val="0"/>
            <w:vAlign w:val="center"/>
          </w:tcPr>
          <w:p w14:paraId="19F14DF7">
            <w:pPr>
              <w:spacing w:line="360" w:lineRule="exact"/>
              <w:rPr>
                <w:rStyle w:val="9"/>
                <w:rFonts w:hint="eastAsia" w:ascii="Times New Roman" w:hAnsi="Times New Roman" w:eastAsia="宋体" w:cs="Times New Roman"/>
                <w:kern w:val="0"/>
                <w:sz w:val="24"/>
                <w:szCs w:val="24"/>
                <w:lang w:val="zh-TW" w:eastAsia="zh-TW" w:bidi="ar-SA"/>
              </w:rPr>
            </w:pPr>
            <w:r>
              <w:rPr>
                <w:rStyle w:val="9"/>
                <w:rFonts w:hint="eastAsia" w:ascii="Times New Roman" w:hAnsi="Times New Roman" w:eastAsia="宋体" w:cs="Times New Roman"/>
                <w:kern w:val="0"/>
                <w:sz w:val="24"/>
                <w:szCs w:val="24"/>
                <w:lang w:val="en-US" w:eastAsia="zh-CN" w:bidi="ar-SA"/>
              </w:rPr>
              <w:t>根据响应人提供人员配备及机械设备配备方案，由评委横向比较后进行打分，好的得[10-6）分，较好的得[6-3）分，一般的得[3-1]分。</w:t>
            </w:r>
          </w:p>
        </w:tc>
      </w:tr>
      <w:tr w14:paraId="0F7A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9" w:hRule="atLeast"/>
          <w:jc w:val="center"/>
        </w:trPr>
        <w:tc>
          <w:tcPr>
            <w:tcW w:w="1172" w:type="dxa"/>
            <w:vMerge w:val="restart"/>
            <w:shd w:val="clear" w:color="auto" w:fill="auto"/>
            <w:noWrap w:val="0"/>
            <w:vAlign w:val="center"/>
          </w:tcPr>
          <w:p w14:paraId="3107B9F9">
            <w:pPr>
              <w:pStyle w:val="4"/>
              <w:widowControl w:val="0"/>
              <w:adjustRightInd w:val="0"/>
              <w:spacing w:before="0" w:beforeAutospacing="0" w:after="0" w:afterAutospacing="0" w:line="360" w:lineRule="exact"/>
              <w:jc w:val="center"/>
              <w:rPr>
                <w:rFonts w:hint="default" w:eastAsiaTheme="minorEastAsia"/>
                <w:color w:val="auto"/>
                <w:kern w:val="2"/>
                <w:sz w:val="21"/>
                <w:szCs w:val="21"/>
                <w:highlight w:val="none"/>
                <w:lang w:val="en-US" w:eastAsia="zh-CN"/>
              </w:rPr>
            </w:pPr>
            <w:r>
              <w:rPr>
                <w:rStyle w:val="9"/>
                <w:rFonts w:hint="eastAsia" w:ascii="Times New Roman" w:hAnsi="Times New Roman" w:eastAsia="宋体" w:cs="Times New Roman"/>
                <w:kern w:val="0"/>
                <w:sz w:val="24"/>
                <w:szCs w:val="24"/>
                <w:lang w:val="en-US" w:eastAsia="zh-CN" w:bidi="ar-SA"/>
              </w:rPr>
              <w:t>资信部分（15分）</w:t>
            </w:r>
          </w:p>
        </w:tc>
        <w:tc>
          <w:tcPr>
            <w:tcW w:w="1964" w:type="dxa"/>
            <w:shd w:val="clear" w:color="auto" w:fill="auto"/>
            <w:noWrap w:val="0"/>
            <w:tcMar>
              <w:top w:w="80" w:type="dxa"/>
              <w:left w:w="80" w:type="dxa"/>
              <w:bottom w:w="80" w:type="dxa"/>
              <w:right w:w="80" w:type="dxa"/>
            </w:tcMar>
            <w:vAlign w:val="center"/>
          </w:tcPr>
          <w:p w14:paraId="68F6911D">
            <w:pPr>
              <w:spacing w:line="360" w:lineRule="exact"/>
              <w:rPr>
                <w:rStyle w:val="9"/>
                <w:rFonts w:hint="eastAsia" w:ascii="Times New Roman" w:hAnsi="Times New Roman" w:eastAsia="宋体" w:cs="Times New Roman"/>
                <w:kern w:val="0"/>
                <w:sz w:val="24"/>
                <w:szCs w:val="24"/>
                <w:lang w:val="zh-TW" w:eastAsia="zh-CN" w:bidi="ar-SA"/>
              </w:rPr>
            </w:pPr>
            <w:r>
              <w:rPr>
                <w:rStyle w:val="9"/>
                <w:rFonts w:hint="eastAsia" w:ascii="Times New Roman" w:hAnsi="Times New Roman" w:eastAsia="宋体" w:cs="Times New Roman"/>
                <w:kern w:val="0"/>
                <w:sz w:val="24"/>
                <w:szCs w:val="24"/>
                <w:lang w:val="en-US" w:eastAsia="zh-CN" w:bidi="ar-SA"/>
              </w:rPr>
              <w:t>建筑市场信用等级（10分）</w:t>
            </w:r>
          </w:p>
        </w:tc>
        <w:tc>
          <w:tcPr>
            <w:tcW w:w="6957" w:type="dxa"/>
            <w:shd w:val="clear" w:color="auto" w:fill="auto"/>
            <w:noWrap w:val="0"/>
            <w:vAlign w:val="center"/>
          </w:tcPr>
          <w:p w14:paraId="190C4EF6">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以比选之日的宁波市建筑市场信用信息系统中查询的响应人勘察信用等级为准（响应人无需另行提供资料）。</w:t>
            </w:r>
          </w:p>
          <w:p w14:paraId="16E8D9EC">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1）A级，得10分；</w:t>
            </w:r>
          </w:p>
          <w:p w14:paraId="0B8B459B">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2）B级，得8分；</w:t>
            </w:r>
          </w:p>
          <w:p w14:paraId="62B572A0">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3）C级，得6分；</w:t>
            </w:r>
          </w:p>
          <w:p w14:paraId="5CAFA42F">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4）D级，得3分；</w:t>
            </w:r>
          </w:p>
          <w:p w14:paraId="7774C685">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5）其他情形，得0分</w:t>
            </w:r>
          </w:p>
        </w:tc>
      </w:tr>
      <w:tr w14:paraId="49E7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387" w:hRule="atLeast"/>
          <w:jc w:val="center"/>
        </w:trPr>
        <w:tc>
          <w:tcPr>
            <w:tcW w:w="1172" w:type="dxa"/>
            <w:vMerge w:val="continue"/>
            <w:shd w:val="clear" w:color="auto" w:fill="auto"/>
            <w:noWrap w:val="0"/>
            <w:vAlign w:val="top"/>
          </w:tcPr>
          <w:p w14:paraId="512492D9">
            <w:pPr>
              <w:pStyle w:val="4"/>
              <w:widowControl w:val="0"/>
              <w:adjustRightInd w:val="0"/>
              <w:spacing w:before="0" w:beforeAutospacing="0" w:after="0" w:afterAutospacing="0" w:line="360" w:lineRule="exact"/>
              <w:jc w:val="center"/>
              <w:rPr>
                <w:rFonts w:hint="eastAsia"/>
                <w:color w:val="auto"/>
                <w:kern w:val="2"/>
                <w:sz w:val="21"/>
                <w:szCs w:val="21"/>
                <w:highlight w:val="none"/>
                <w:lang w:val="zh-TW" w:eastAsia="zh-TW"/>
              </w:rPr>
            </w:pPr>
          </w:p>
        </w:tc>
        <w:tc>
          <w:tcPr>
            <w:tcW w:w="1964" w:type="dxa"/>
            <w:shd w:val="clear" w:color="auto" w:fill="auto"/>
            <w:noWrap w:val="0"/>
            <w:tcMar>
              <w:top w:w="80" w:type="dxa"/>
              <w:left w:w="80" w:type="dxa"/>
              <w:bottom w:w="80" w:type="dxa"/>
              <w:right w:w="80" w:type="dxa"/>
            </w:tcMar>
            <w:vAlign w:val="center"/>
          </w:tcPr>
          <w:p w14:paraId="198768BB">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响应人的类似项目经验（5分）</w:t>
            </w:r>
          </w:p>
        </w:tc>
        <w:tc>
          <w:tcPr>
            <w:tcW w:w="6957" w:type="dxa"/>
            <w:shd w:val="clear" w:color="auto" w:fill="auto"/>
            <w:noWrap w:val="0"/>
            <w:vAlign w:val="center"/>
          </w:tcPr>
          <w:p w14:paraId="3B507119">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2022年1月1日至比选截止时间，响应人完成过具有软土地基基础且工程规模达到本项目总建筑面积60%及以上的公共建筑工程勘察项目的。时间以勘察报告时间为准。本项目总建筑面积为：321257.18平方米。本项得分不累计，按就高原则计取。</w:t>
            </w:r>
          </w:p>
          <w:p w14:paraId="11EBFAA0">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1）单项合同工程规模达到本项目总建筑面积100%的，得5分；</w:t>
            </w:r>
          </w:p>
          <w:p w14:paraId="48B0345B">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2）单项合同工程规模达到本项目总建筑面积80%的，得3分；</w:t>
            </w:r>
          </w:p>
          <w:p w14:paraId="45721D01">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3）单项合同工程规模达到本项目总建筑面积60%的，得1分；</w:t>
            </w:r>
          </w:p>
          <w:p w14:paraId="75D657E3">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4）其他情形，得0分</w:t>
            </w:r>
          </w:p>
          <w:p w14:paraId="1685D3D1">
            <w:pPr>
              <w:spacing w:line="360" w:lineRule="exact"/>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 xml:space="preserve"> 时间以合同签订时间为准，需提供①合同、②勘察成果报告2项资料确认，若上述资料未能反映建筑面积的还须提供其他相关文件或业主证明资料。</w:t>
            </w:r>
          </w:p>
          <w:p w14:paraId="5EB0B68F">
            <w:pPr>
              <w:spacing w:line="360" w:lineRule="exact"/>
              <w:rPr>
                <w:rStyle w:val="9"/>
                <w:rFonts w:hint="eastAsia" w:ascii="Times New Roman" w:hAnsi="Times New Roman" w:eastAsia="宋体" w:cs="Times New Roman"/>
                <w:kern w:val="0"/>
                <w:sz w:val="24"/>
                <w:szCs w:val="24"/>
                <w:lang w:val="en-US" w:eastAsia="zh-CN" w:bidi="ar-SA"/>
              </w:rPr>
            </w:pPr>
          </w:p>
        </w:tc>
      </w:tr>
    </w:tbl>
    <w:p w14:paraId="31063734">
      <w:pPr>
        <w:keepNext w:val="0"/>
        <w:keepLines w:val="0"/>
        <w:pageBreakBefore w:val="0"/>
        <w:widowControl w:val="0"/>
        <w:kinsoku/>
        <w:wordWrap/>
        <w:overflowPunct/>
        <w:topLinePunct w:val="0"/>
        <w:autoSpaceDE/>
        <w:autoSpaceDN/>
        <w:bidi w:val="0"/>
        <w:spacing w:line="360" w:lineRule="auto"/>
        <w:textAlignment w:val="auto"/>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注：</w:t>
      </w:r>
    </w:p>
    <w:p w14:paraId="0D880F56">
      <w:pPr>
        <w:keepNext w:val="0"/>
        <w:keepLines w:val="0"/>
        <w:pageBreakBefore w:val="0"/>
        <w:widowControl w:val="0"/>
        <w:numPr>
          <w:ilvl w:val="0"/>
          <w:numId w:val="1"/>
        </w:numPr>
        <w:kinsoku/>
        <w:wordWrap/>
        <w:overflowPunct/>
        <w:topLinePunct w:val="0"/>
        <w:autoSpaceDE/>
        <w:autoSpaceDN/>
        <w:bidi w:val="0"/>
        <w:spacing w:line="360" w:lineRule="auto"/>
        <w:textAlignment w:val="auto"/>
        <w:rPr>
          <w:rStyle w:val="9"/>
          <w:rFonts w:hint="eastAsia" w:ascii="Times New Roman" w:hAnsi="Times New Roman" w:eastAsia="宋体" w:cs="Times New Roman"/>
          <w:kern w:val="0"/>
          <w:sz w:val="24"/>
          <w:szCs w:val="24"/>
          <w:lang w:val="en-US" w:eastAsia="zh-CN" w:bidi="ar-SA"/>
        </w:rPr>
      </w:pPr>
      <w:r>
        <w:rPr>
          <w:rStyle w:val="9"/>
          <w:rFonts w:hint="eastAsia" w:ascii="Times New Roman" w:hAnsi="Times New Roman" w:eastAsia="宋体" w:cs="Times New Roman"/>
          <w:kern w:val="0"/>
          <w:sz w:val="24"/>
          <w:szCs w:val="24"/>
          <w:lang w:val="en-US" w:eastAsia="zh-CN" w:bidi="ar-SA"/>
        </w:rPr>
        <w:t xml:space="preserve">满分100分，计算保留到小数点后2位（按四舍五入法）。 </w:t>
      </w:r>
    </w:p>
    <w:p w14:paraId="37185756">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eastAsia="楷体_GB2312"/>
          <w:lang w:val="en-US" w:eastAsia="zh-CN"/>
        </w:rPr>
        <w:sectPr>
          <w:pgSz w:w="11906" w:h="16838"/>
          <w:pgMar w:top="1440" w:right="1800" w:bottom="1440" w:left="1800" w:header="851" w:footer="992" w:gutter="0"/>
          <w:cols w:space="425" w:num="1"/>
          <w:docGrid w:type="lines" w:linePitch="312" w:charSpace="0"/>
        </w:sectPr>
      </w:pPr>
      <w:r>
        <w:rPr>
          <w:rStyle w:val="9"/>
          <w:rFonts w:hint="eastAsia" w:ascii="Times New Roman" w:hAnsi="Times New Roman" w:eastAsia="宋体" w:cs="Times New Roman"/>
          <w:kern w:val="0"/>
          <w:sz w:val="24"/>
          <w:szCs w:val="24"/>
          <w:lang w:val="en-US" w:eastAsia="zh-CN" w:bidi="ar-SA"/>
        </w:rPr>
        <w:t>2.评标委员会根据各响应人的综合得分高低排定顺序，推荐综合得分最高的响应人为中标候选人。如响应人的综合得分相同，则报价低者优先；如报价也相同，则技术分高者优先；如技术分也相同，则由抽签决定。</w:t>
      </w:r>
    </w:p>
    <w:p w14:paraId="2A57C2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03B41"/>
    <w:multiLevelType w:val="singleLevel"/>
    <w:tmpl w:val="7A203B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77F8C"/>
    <w:rsid w:val="3FB77F8C"/>
    <w:rsid w:val="5D0C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240" w:lineRule="auto"/>
      <w:ind w:left="420" w:leftChars="200" w:firstLine="420" w:firstLineChars="200"/>
    </w:pPr>
    <w:rPr>
      <w:sz w:val="20"/>
      <w:szCs w:val="20"/>
    </w:rPr>
  </w:style>
  <w:style w:type="paragraph" w:styleId="3">
    <w:name w:val="Body Text Indent"/>
    <w:basedOn w:val="1"/>
    <w:qFormat/>
    <w:uiPriority w:val="0"/>
    <w:pPr>
      <w:ind w:firstLine="585"/>
    </w:pPr>
    <w:rPr>
      <w:rFonts w:ascii="楷体_GB2312" w:hAnsi="Tahoma" w:eastAsia="楷体_GB2312"/>
      <w:sz w:val="28"/>
      <w:szCs w:val="24"/>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next w:val="8"/>
    <w:qFormat/>
    <w:uiPriority w:val="99"/>
    <w:pPr>
      <w:ind w:firstLine="420" w:firstLineChars="200"/>
    </w:pPr>
  </w:style>
  <w:style w:type="paragraph" w:customStyle="1" w:styleId="8">
    <w:name w:val="目录 32"/>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9">
    <w:name w:val="a0"/>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1116</Words>
  <Characters>1218</Characters>
  <Lines>0</Lines>
  <Paragraphs>0</Paragraphs>
  <TotalTime>0</TotalTime>
  <ScaleCrop>false</ScaleCrop>
  <LinksUpToDate>false</LinksUpToDate>
  <CharactersWithSpaces>1220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2025-05-14T02:50:00Z</dcterms:created>
  <dc:creator>runhu</dc:creator>
  <cp:lastModifiedBy>琦琦</cp:lastModifiedBy>
  <dcterms:modified xsi:type="dcterms:W3CDTF">2025-05-22T08:20:44Z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BC9C0980C5234E698010D98C7FBE4D91_13</vt:lpwstr>
  </property>
  <property fmtid="{D5CDD505-2E9C-101B-9397-08002B2CF9AE}" pid="4" name="KSOTemplateDocerSaveRecord">
    <vt:lpwstr>eyJoZGlkIjoiNWYzZGFkODE1M2MxMmJiNzgwYTZmYzYzNzJkMmY5NTkifQ==</vt:lpwstr>
  </property>
</Properties>
</file>